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</w:rPr>
        <w:drawing>
          <wp:inline distB="0" distT="0" distL="114300" distR="114300">
            <wp:extent cx="44831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200" w:line="276" w:lineRule="auto"/>
        <w:ind w:right="4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 м. Сквира                             №08-42-VIII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 на 2024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2024 рік»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Статутом підприємства (в новій редакції)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затвердженим рішенням Сквирської міської ради №08-35-VIII від 27.06.2023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скликання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«Сквираблагоустрій», який вводиться в дію з 01 січня 2024 року, в кількості 97 штатних одиниць з місячними окладами та тарифними ставками на загальну суму 977333 грн., додається (додаток 1).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426" w:top="992.1259842519685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336" w:hanging="148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UPJa6yf/eC3RrsqVfIDcwxvC5Q==">CgMxLjA4AHIhMXdDaUVnVUFqcWt0VGFESmpLMm42cFpnUkF1Z0ltVF8t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